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947" w:rsidRDefault="000E3947" w:rsidP="0083242B">
      <w:pPr>
        <w:tabs>
          <w:tab w:val="left" w:pos="9214"/>
        </w:tabs>
        <w:autoSpaceDE w:val="0"/>
        <w:autoSpaceDN w:val="0"/>
        <w:adjustRightInd w:val="0"/>
        <w:spacing w:after="0" w:line="240" w:lineRule="auto"/>
        <w:ind w:left="567" w:right="424"/>
        <w:jc w:val="center"/>
        <w:rPr>
          <w:rFonts w:ascii="Arial" w:hAnsi="Arial" w:cs="Arial"/>
          <w:b/>
          <w:bCs/>
          <w:lang w:val="en-US"/>
        </w:rPr>
      </w:pPr>
    </w:p>
    <w:p w:rsidR="000E3947" w:rsidRDefault="000E3947" w:rsidP="0083242B">
      <w:pPr>
        <w:tabs>
          <w:tab w:val="left" w:pos="9214"/>
        </w:tabs>
        <w:autoSpaceDE w:val="0"/>
        <w:autoSpaceDN w:val="0"/>
        <w:adjustRightInd w:val="0"/>
        <w:spacing w:after="0" w:line="240" w:lineRule="auto"/>
        <w:ind w:left="567" w:right="424"/>
        <w:jc w:val="center"/>
        <w:rPr>
          <w:rFonts w:ascii="Arial" w:hAnsi="Arial" w:cs="Arial"/>
          <w:b/>
          <w:bCs/>
          <w:lang w:val="en-US"/>
        </w:rPr>
      </w:pPr>
    </w:p>
    <w:p w:rsidR="000E3947" w:rsidRPr="006118CE" w:rsidRDefault="000E3947" w:rsidP="0083242B">
      <w:pPr>
        <w:tabs>
          <w:tab w:val="left" w:pos="9214"/>
        </w:tabs>
        <w:autoSpaceDE w:val="0"/>
        <w:autoSpaceDN w:val="0"/>
        <w:adjustRightInd w:val="0"/>
        <w:spacing w:after="0" w:line="240" w:lineRule="auto"/>
        <w:ind w:left="567" w:right="424"/>
        <w:jc w:val="center"/>
        <w:rPr>
          <w:rFonts w:ascii="Arial" w:hAnsi="Arial" w:cs="Arial"/>
          <w:b/>
          <w:bCs/>
          <w:lang w:val="en-US"/>
        </w:rPr>
      </w:pPr>
    </w:p>
    <w:p w:rsidR="000E3947" w:rsidRDefault="000E3947" w:rsidP="0083242B">
      <w:pPr>
        <w:tabs>
          <w:tab w:val="left" w:pos="9214"/>
        </w:tabs>
        <w:autoSpaceDE w:val="0"/>
        <w:autoSpaceDN w:val="0"/>
        <w:adjustRightInd w:val="0"/>
        <w:spacing w:after="0" w:line="240" w:lineRule="auto"/>
        <w:ind w:left="567" w:right="424"/>
        <w:jc w:val="center"/>
        <w:rPr>
          <w:rFonts w:ascii="Cambria" w:hAnsi="Cambria" w:cs="Arial"/>
          <w:b/>
          <w:bCs/>
          <w:sz w:val="28"/>
          <w:szCs w:val="28"/>
          <w:lang w:val="en-US"/>
        </w:rPr>
      </w:pPr>
    </w:p>
    <w:p w:rsidR="000E3947" w:rsidRDefault="000E3947" w:rsidP="0083242B">
      <w:pPr>
        <w:pBdr>
          <w:top w:val="single" w:sz="4" w:space="1" w:color="auto"/>
          <w:left w:val="single" w:sz="4" w:space="4" w:color="auto"/>
          <w:bottom w:val="single" w:sz="4" w:space="1" w:color="auto"/>
          <w:right w:val="single" w:sz="4" w:space="4" w:color="auto"/>
        </w:pBdr>
        <w:tabs>
          <w:tab w:val="left" w:pos="9214"/>
        </w:tabs>
        <w:autoSpaceDE w:val="0"/>
        <w:autoSpaceDN w:val="0"/>
        <w:adjustRightInd w:val="0"/>
        <w:spacing w:after="0" w:line="240" w:lineRule="auto"/>
        <w:ind w:left="567" w:right="424"/>
        <w:jc w:val="center"/>
        <w:rPr>
          <w:rFonts w:ascii="Cambria" w:hAnsi="Cambria" w:cs="Arial"/>
          <w:b/>
          <w:bCs/>
          <w:sz w:val="28"/>
          <w:szCs w:val="28"/>
          <w:lang w:val="en-US"/>
        </w:rPr>
      </w:pPr>
    </w:p>
    <w:p w:rsidR="000E3947" w:rsidRPr="00FC3A4B" w:rsidRDefault="000E3947" w:rsidP="0083242B">
      <w:pPr>
        <w:pBdr>
          <w:top w:val="single" w:sz="4" w:space="1" w:color="auto"/>
          <w:left w:val="single" w:sz="4" w:space="4" w:color="auto"/>
          <w:bottom w:val="single" w:sz="4" w:space="1" w:color="auto"/>
          <w:right w:val="single" w:sz="4" w:space="4" w:color="auto"/>
        </w:pBdr>
        <w:tabs>
          <w:tab w:val="left" w:pos="9214"/>
        </w:tabs>
        <w:autoSpaceDE w:val="0"/>
        <w:autoSpaceDN w:val="0"/>
        <w:adjustRightInd w:val="0"/>
        <w:spacing w:after="0" w:line="240" w:lineRule="auto"/>
        <w:ind w:left="567" w:right="424"/>
        <w:jc w:val="center"/>
        <w:rPr>
          <w:rFonts w:ascii="Cambria" w:hAnsi="Cambria" w:cs="Arial"/>
          <w:b/>
          <w:bCs/>
          <w:sz w:val="28"/>
          <w:szCs w:val="28"/>
          <w:lang w:val="en-US"/>
        </w:rPr>
      </w:pPr>
      <w:r w:rsidRPr="00FC3A4B">
        <w:rPr>
          <w:rFonts w:ascii="Cambria" w:hAnsi="Cambria" w:cs="Arial"/>
          <w:b/>
          <w:bCs/>
          <w:sz w:val="28"/>
          <w:szCs w:val="28"/>
          <w:lang w:val="en-US"/>
        </w:rPr>
        <w:t>Expert Meeting and SEE Ministerial Round Table</w:t>
      </w:r>
    </w:p>
    <w:p w:rsidR="000E3947" w:rsidRDefault="000E3947" w:rsidP="0083242B">
      <w:pPr>
        <w:pBdr>
          <w:top w:val="single" w:sz="4" w:space="1" w:color="auto"/>
          <w:left w:val="single" w:sz="4" w:space="4" w:color="auto"/>
          <w:bottom w:val="single" w:sz="4" w:space="1" w:color="auto"/>
          <w:right w:val="single" w:sz="4" w:space="4" w:color="auto"/>
        </w:pBdr>
        <w:tabs>
          <w:tab w:val="left" w:pos="9214"/>
        </w:tabs>
        <w:autoSpaceDE w:val="0"/>
        <w:autoSpaceDN w:val="0"/>
        <w:adjustRightInd w:val="0"/>
        <w:spacing w:after="0" w:line="240" w:lineRule="auto"/>
        <w:ind w:left="567" w:right="424"/>
        <w:jc w:val="center"/>
        <w:rPr>
          <w:rFonts w:ascii="Cambria" w:hAnsi="Cambria" w:cs="Arial"/>
          <w:i/>
          <w:sz w:val="24"/>
          <w:szCs w:val="24"/>
          <w:lang w:val="en-US"/>
        </w:rPr>
      </w:pPr>
    </w:p>
    <w:p w:rsidR="000E3947" w:rsidRPr="00FC3A4B" w:rsidRDefault="000E3947" w:rsidP="0083242B">
      <w:pPr>
        <w:pBdr>
          <w:top w:val="single" w:sz="4" w:space="1" w:color="auto"/>
          <w:left w:val="single" w:sz="4" w:space="4" w:color="auto"/>
          <w:bottom w:val="single" w:sz="4" w:space="1" w:color="auto"/>
          <w:right w:val="single" w:sz="4" w:space="4" w:color="auto"/>
        </w:pBdr>
        <w:tabs>
          <w:tab w:val="left" w:pos="9214"/>
        </w:tabs>
        <w:autoSpaceDE w:val="0"/>
        <w:autoSpaceDN w:val="0"/>
        <w:adjustRightInd w:val="0"/>
        <w:spacing w:after="0" w:line="240" w:lineRule="auto"/>
        <w:ind w:left="567" w:right="424"/>
        <w:jc w:val="center"/>
        <w:rPr>
          <w:rFonts w:ascii="Cambria" w:hAnsi="Cambria" w:cs="Arial"/>
          <w:i/>
          <w:sz w:val="24"/>
          <w:szCs w:val="24"/>
          <w:lang w:val="en-US"/>
        </w:rPr>
      </w:pPr>
      <w:r w:rsidRPr="00FC3A4B">
        <w:rPr>
          <w:rFonts w:ascii="Cambria" w:hAnsi="Cambria" w:cs="Arial"/>
          <w:i/>
          <w:sz w:val="24"/>
          <w:szCs w:val="24"/>
          <w:lang w:val="en-US"/>
        </w:rPr>
        <w:t>22-23 November 2012 – Sarajevo, Bosnia and Herzegovina</w:t>
      </w:r>
    </w:p>
    <w:p w:rsidR="000E3947" w:rsidRPr="00FC3A4B" w:rsidRDefault="000E3947" w:rsidP="0083242B">
      <w:pPr>
        <w:pBdr>
          <w:top w:val="single" w:sz="4" w:space="1" w:color="auto"/>
          <w:left w:val="single" w:sz="4" w:space="4" w:color="auto"/>
          <w:bottom w:val="single" w:sz="4" w:space="1" w:color="auto"/>
          <w:right w:val="single" w:sz="4" w:space="4" w:color="auto"/>
        </w:pBdr>
        <w:tabs>
          <w:tab w:val="left" w:pos="9214"/>
        </w:tabs>
        <w:autoSpaceDE w:val="0"/>
        <w:autoSpaceDN w:val="0"/>
        <w:adjustRightInd w:val="0"/>
        <w:spacing w:after="0" w:line="240" w:lineRule="auto"/>
        <w:ind w:left="567" w:right="424"/>
        <w:jc w:val="center"/>
        <w:rPr>
          <w:rFonts w:ascii="Cambria" w:hAnsi="Cambria" w:cs="Arial"/>
          <w:sz w:val="24"/>
          <w:szCs w:val="24"/>
          <w:lang w:val="en-US"/>
        </w:rPr>
      </w:pPr>
    </w:p>
    <w:p w:rsidR="000E3947" w:rsidRPr="00FC3A4B" w:rsidRDefault="000E3947" w:rsidP="004824E2">
      <w:pPr>
        <w:tabs>
          <w:tab w:val="left" w:pos="9214"/>
        </w:tabs>
        <w:autoSpaceDE w:val="0"/>
        <w:autoSpaceDN w:val="0"/>
        <w:adjustRightInd w:val="0"/>
        <w:spacing w:before="120" w:after="0" w:line="240" w:lineRule="auto"/>
        <w:ind w:left="567" w:right="424"/>
        <w:jc w:val="both"/>
        <w:rPr>
          <w:rFonts w:ascii="Cambria" w:hAnsi="Cambria" w:cs="Arial"/>
          <w:sz w:val="24"/>
          <w:szCs w:val="24"/>
          <w:lang w:val="en-US"/>
        </w:rPr>
      </w:pPr>
    </w:p>
    <w:p w:rsidR="000E3947" w:rsidRPr="004824E2" w:rsidRDefault="000E3947" w:rsidP="004824E2">
      <w:pPr>
        <w:tabs>
          <w:tab w:val="left" w:pos="9214"/>
        </w:tabs>
        <w:autoSpaceDE w:val="0"/>
        <w:autoSpaceDN w:val="0"/>
        <w:adjustRightInd w:val="0"/>
        <w:spacing w:after="0" w:line="240" w:lineRule="auto"/>
        <w:ind w:left="567" w:right="424"/>
        <w:jc w:val="both"/>
        <w:rPr>
          <w:rFonts w:ascii="Cambria" w:hAnsi="Cambria" w:cs="Arial"/>
          <w:sz w:val="24"/>
          <w:szCs w:val="24"/>
          <w:lang w:val="en-US"/>
        </w:rPr>
      </w:pPr>
    </w:p>
    <w:p w:rsidR="000E3947" w:rsidRDefault="000E3947" w:rsidP="004824E2">
      <w:pPr>
        <w:tabs>
          <w:tab w:val="left" w:pos="9214"/>
        </w:tabs>
        <w:autoSpaceDE w:val="0"/>
        <w:autoSpaceDN w:val="0"/>
        <w:adjustRightInd w:val="0"/>
        <w:spacing w:after="0" w:line="480" w:lineRule="auto"/>
        <w:ind w:left="567" w:right="424"/>
        <w:jc w:val="center"/>
        <w:rPr>
          <w:rFonts w:ascii="Cambria" w:hAnsi="Cambria" w:cs="Arial"/>
          <w:b/>
          <w:bCs/>
          <w:i/>
          <w:sz w:val="24"/>
          <w:szCs w:val="24"/>
          <w:lang w:val="en-US"/>
        </w:rPr>
      </w:pPr>
    </w:p>
    <w:p w:rsidR="000E3947" w:rsidRPr="004824E2" w:rsidRDefault="000E3947" w:rsidP="004824E2">
      <w:pPr>
        <w:tabs>
          <w:tab w:val="left" w:pos="9214"/>
        </w:tabs>
        <w:autoSpaceDE w:val="0"/>
        <w:autoSpaceDN w:val="0"/>
        <w:adjustRightInd w:val="0"/>
        <w:spacing w:after="0" w:line="480" w:lineRule="auto"/>
        <w:ind w:left="567" w:right="424"/>
        <w:jc w:val="center"/>
        <w:rPr>
          <w:rFonts w:ascii="Cambria" w:hAnsi="Cambria" w:cs="Arial"/>
          <w:b/>
          <w:bCs/>
          <w:sz w:val="24"/>
          <w:szCs w:val="24"/>
          <w:lang w:val="en-US"/>
        </w:rPr>
      </w:pPr>
      <w:r w:rsidRPr="004824E2">
        <w:rPr>
          <w:rFonts w:ascii="Cambria" w:hAnsi="Cambria" w:cs="Arial"/>
          <w:b/>
          <w:bCs/>
          <w:i/>
          <w:sz w:val="24"/>
          <w:szCs w:val="24"/>
          <w:lang w:val="en-US"/>
        </w:rPr>
        <w:t xml:space="preserve">Introductory Note </w:t>
      </w:r>
    </w:p>
    <w:p w:rsidR="000E3947" w:rsidRPr="004824E2" w:rsidRDefault="000E3947" w:rsidP="004824E2">
      <w:pPr>
        <w:tabs>
          <w:tab w:val="left" w:pos="9214"/>
        </w:tabs>
        <w:autoSpaceDE w:val="0"/>
        <w:autoSpaceDN w:val="0"/>
        <w:adjustRightInd w:val="0"/>
        <w:spacing w:before="120" w:after="0" w:line="240" w:lineRule="auto"/>
        <w:ind w:left="567" w:right="424"/>
        <w:jc w:val="both"/>
        <w:rPr>
          <w:rFonts w:ascii="Cambria" w:hAnsi="Cambria" w:cs="Arial"/>
          <w:sz w:val="24"/>
          <w:szCs w:val="24"/>
          <w:lang w:val="en-US"/>
        </w:rPr>
      </w:pPr>
      <w:r w:rsidRPr="004824E2">
        <w:rPr>
          <w:rFonts w:ascii="Cambria" w:hAnsi="Cambria" w:cs="Arial"/>
          <w:sz w:val="24"/>
          <w:szCs w:val="24"/>
          <w:lang w:val="en-US"/>
        </w:rPr>
        <w:t>The expert meeting and SEE Ministerial Round Table, organized by the UNESCO Regional Bureau for Science and Culture in Europe, Venice in collaboration with the Ministry of Civil Affairs of Bosnia and Herzegovina, will discuss the preparation a coherent roadmap of science priorities at both national and regional levels.</w:t>
      </w:r>
    </w:p>
    <w:p w:rsidR="000E3947" w:rsidRPr="004824E2" w:rsidRDefault="000E3947" w:rsidP="004824E2">
      <w:pPr>
        <w:tabs>
          <w:tab w:val="left" w:pos="9214"/>
        </w:tabs>
        <w:autoSpaceDE w:val="0"/>
        <w:autoSpaceDN w:val="0"/>
        <w:adjustRightInd w:val="0"/>
        <w:spacing w:before="120" w:after="0" w:line="240" w:lineRule="auto"/>
        <w:ind w:left="567" w:right="424"/>
        <w:jc w:val="both"/>
        <w:rPr>
          <w:rFonts w:ascii="Cambria" w:hAnsi="Cambria" w:cs="Arial"/>
          <w:sz w:val="24"/>
          <w:szCs w:val="24"/>
          <w:lang w:val="en-US" w:eastAsia="it-IT"/>
        </w:rPr>
      </w:pPr>
      <w:r w:rsidRPr="004824E2">
        <w:rPr>
          <w:rFonts w:ascii="Cambria" w:hAnsi="Cambria" w:cs="Arial"/>
          <w:sz w:val="24"/>
          <w:szCs w:val="24"/>
          <w:lang w:val="en-US"/>
        </w:rPr>
        <w:t xml:space="preserve">The </w:t>
      </w:r>
      <w:r w:rsidRPr="004824E2">
        <w:rPr>
          <w:rFonts w:ascii="Cambria" w:hAnsi="Cambria" w:cs="Arial"/>
          <w:i/>
          <w:sz w:val="24"/>
          <w:szCs w:val="24"/>
          <w:lang w:val="en-US"/>
        </w:rPr>
        <w:t>“Venice Process”</w:t>
      </w:r>
      <w:r w:rsidRPr="004824E2">
        <w:rPr>
          <w:rFonts w:ascii="Cambria" w:hAnsi="Cambria" w:cs="Arial"/>
          <w:sz w:val="24"/>
          <w:szCs w:val="24"/>
          <w:lang w:val="en-US"/>
        </w:rPr>
        <w:t xml:space="preserve"> </w:t>
      </w:r>
      <w:r w:rsidRPr="004824E2">
        <w:rPr>
          <w:rFonts w:ascii="Cambria" w:hAnsi="Cambria" w:cs="Arial"/>
          <w:sz w:val="24"/>
          <w:szCs w:val="24"/>
          <w:lang w:val="en-US" w:eastAsia="it-IT"/>
        </w:rPr>
        <w:t xml:space="preserve">launched ten years ago during the Conference of Experts on Rebuilding Scientific Cooperation in Southeastern Europe (Venice, 24–27 March 2001), </w:t>
      </w:r>
      <w:r w:rsidRPr="004824E2">
        <w:rPr>
          <w:rFonts w:ascii="Cambria" w:hAnsi="Cambria" w:cs="Arial"/>
          <w:sz w:val="24"/>
          <w:szCs w:val="24"/>
          <w:lang w:val="en-US"/>
        </w:rPr>
        <w:t>has been continuously contributing to the strengthening of the scientific and technological system of the SEE countries, promoting the cooperation within the sub-region and with the rest of Europe, also in order to facilitate the integration of those countries into the European Research Area.</w:t>
      </w:r>
    </w:p>
    <w:p w:rsidR="000E3947" w:rsidRPr="004824E2" w:rsidRDefault="000E3947" w:rsidP="004824E2">
      <w:pPr>
        <w:tabs>
          <w:tab w:val="left" w:pos="9214"/>
        </w:tabs>
        <w:autoSpaceDE w:val="0"/>
        <w:autoSpaceDN w:val="0"/>
        <w:adjustRightInd w:val="0"/>
        <w:spacing w:before="120" w:after="0" w:line="240" w:lineRule="auto"/>
        <w:ind w:left="567" w:right="424"/>
        <w:jc w:val="both"/>
        <w:rPr>
          <w:rFonts w:ascii="Cambria" w:hAnsi="Cambria" w:cs="Arial"/>
          <w:sz w:val="24"/>
          <w:szCs w:val="24"/>
          <w:lang w:val="en-US"/>
        </w:rPr>
      </w:pPr>
      <w:r w:rsidRPr="004824E2">
        <w:rPr>
          <w:rFonts w:ascii="Cambria" w:hAnsi="Cambria" w:cs="Arial"/>
          <w:sz w:val="24"/>
          <w:szCs w:val="24"/>
          <w:lang w:val="en-US"/>
        </w:rPr>
        <w:t xml:space="preserve">During this decade, the UNESCO Regional Bureau for Science and Culture in Europe has been active in providing financial support and elaborating initiatives to generate regional networking as a means of mobilizing the sciences, technology and innovation (STI) for peace and sustainable development. An integrated regional science-policy-society approach has been promoted. </w:t>
      </w:r>
    </w:p>
    <w:p w:rsidR="000E3947" w:rsidRPr="004824E2" w:rsidRDefault="000E3947" w:rsidP="004824E2">
      <w:pPr>
        <w:tabs>
          <w:tab w:val="left" w:pos="9214"/>
        </w:tabs>
        <w:autoSpaceDE w:val="0"/>
        <w:autoSpaceDN w:val="0"/>
        <w:adjustRightInd w:val="0"/>
        <w:spacing w:before="120" w:after="0" w:line="240" w:lineRule="auto"/>
        <w:ind w:left="567" w:right="424"/>
        <w:jc w:val="both"/>
        <w:rPr>
          <w:rFonts w:ascii="Cambria" w:hAnsi="Cambria" w:cs="Arial"/>
          <w:sz w:val="24"/>
          <w:szCs w:val="24"/>
          <w:lang w:val="en-US"/>
        </w:rPr>
      </w:pPr>
      <w:r w:rsidRPr="004824E2">
        <w:rPr>
          <w:rFonts w:ascii="Cambria" w:hAnsi="Cambria" w:cs="Arial"/>
          <w:sz w:val="24"/>
          <w:szCs w:val="24"/>
          <w:lang w:val="en-US"/>
        </w:rPr>
        <w:t>Acting as a neutral platform for dialogue and co-operation for policy-makers and academia of the South Eastern Europe, the Venice Office organized several events which were considered pioneering initiatives in the sub-region, among them the international Conference and High-Level Round Table ‘</w:t>
      </w:r>
      <w:r w:rsidRPr="004824E2">
        <w:rPr>
          <w:rFonts w:ascii="Cambria" w:hAnsi="Cambria" w:cs="Arial"/>
          <w:i/>
          <w:iCs/>
          <w:sz w:val="24"/>
          <w:szCs w:val="24"/>
          <w:lang w:val="en-US"/>
        </w:rPr>
        <w:t>Why Invest</w:t>
      </w:r>
      <w:r w:rsidRPr="004824E2">
        <w:rPr>
          <w:rFonts w:ascii="Cambria" w:hAnsi="Cambria" w:cs="Arial"/>
          <w:sz w:val="24"/>
          <w:szCs w:val="24"/>
          <w:lang w:val="en-US"/>
        </w:rPr>
        <w:t xml:space="preserve"> </w:t>
      </w:r>
      <w:r w:rsidRPr="004824E2">
        <w:rPr>
          <w:rFonts w:ascii="Cambria" w:hAnsi="Cambria" w:cs="Arial"/>
          <w:i/>
          <w:iCs/>
          <w:sz w:val="24"/>
          <w:szCs w:val="24"/>
          <w:lang w:val="en-US"/>
        </w:rPr>
        <w:t>in Science in South Eastern Europe</w:t>
      </w:r>
      <w:r w:rsidRPr="004824E2">
        <w:rPr>
          <w:rFonts w:ascii="Cambria" w:hAnsi="Cambria" w:cs="Arial"/>
          <w:sz w:val="24"/>
          <w:szCs w:val="24"/>
          <w:lang w:val="en-US"/>
        </w:rPr>
        <w:t>?’ (Ljubljana, Slovenia, September 2006), the Conference of the Academies of Sciences from Eastern and SEE countries: ‘</w:t>
      </w:r>
      <w:r w:rsidRPr="004824E2">
        <w:rPr>
          <w:rFonts w:ascii="Cambria" w:hAnsi="Cambria" w:cs="Arial"/>
          <w:i/>
          <w:iCs/>
          <w:sz w:val="24"/>
          <w:szCs w:val="24"/>
          <w:lang w:val="en-US"/>
        </w:rPr>
        <w:t>Global Science and National Policies. The</w:t>
      </w:r>
      <w:r w:rsidRPr="004824E2">
        <w:rPr>
          <w:rFonts w:ascii="Cambria" w:hAnsi="Cambria" w:cs="Arial"/>
          <w:sz w:val="24"/>
          <w:szCs w:val="24"/>
          <w:lang w:val="en-US"/>
        </w:rPr>
        <w:t xml:space="preserve"> </w:t>
      </w:r>
      <w:r w:rsidRPr="004824E2">
        <w:rPr>
          <w:rFonts w:ascii="Cambria" w:hAnsi="Cambria" w:cs="Arial"/>
          <w:i/>
          <w:iCs/>
          <w:sz w:val="24"/>
          <w:szCs w:val="24"/>
          <w:lang w:val="en-US"/>
        </w:rPr>
        <w:t xml:space="preserve">Role of Academies </w:t>
      </w:r>
      <w:r w:rsidRPr="004824E2">
        <w:rPr>
          <w:rFonts w:ascii="Cambria" w:hAnsi="Cambria" w:cs="Arial"/>
          <w:sz w:val="24"/>
          <w:szCs w:val="24"/>
          <w:lang w:val="en-US"/>
        </w:rPr>
        <w:t>(Chisinau, Republic of Moldova, 4-5 May 2007), the Science Policy Forum ‘</w:t>
      </w:r>
      <w:r w:rsidRPr="004824E2">
        <w:rPr>
          <w:rFonts w:ascii="Cambria" w:hAnsi="Cambria" w:cs="Arial"/>
          <w:i/>
          <w:iCs/>
          <w:sz w:val="24"/>
          <w:szCs w:val="24"/>
          <w:lang w:val="en-US"/>
        </w:rPr>
        <w:t xml:space="preserve">Science for the Future, Science for Society. The Parliamentary Perspective’ </w:t>
      </w:r>
      <w:r w:rsidRPr="004824E2">
        <w:rPr>
          <w:rFonts w:ascii="Cambria" w:hAnsi="Cambria" w:cs="Arial"/>
          <w:sz w:val="24"/>
          <w:szCs w:val="24"/>
          <w:lang w:val="en-US"/>
        </w:rPr>
        <w:t xml:space="preserve">(Romania, June 2007), the </w:t>
      </w:r>
      <w:r w:rsidRPr="004824E2">
        <w:rPr>
          <w:rFonts w:ascii="Cambria" w:hAnsi="Cambria" w:cs="Arial"/>
          <w:i/>
          <w:iCs/>
          <w:sz w:val="24"/>
          <w:szCs w:val="24"/>
          <w:lang w:val="en-US"/>
        </w:rPr>
        <w:t>Science, Higher Education and Innovation Policy Forum</w:t>
      </w:r>
      <w:r w:rsidRPr="004824E2">
        <w:rPr>
          <w:rFonts w:ascii="Cambria" w:hAnsi="Cambria" w:cs="Arial"/>
          <w:sz w:val="24"/>
          <w:szCs w:val="24"/>
          <w:lang w:val="en-US"/>
        </w:rPr>
        <w:t xml:space="preserve">, Budva, Montenegro, 2-4 July 2008. The conclusions and recommendations adopted on that occasions made a clear case for UNESCO to continue to act as a catalyst and neutral broker in the sub-region with a view of supporting SEE countries in the development and implementation of quality science, higher education policies. As well, the Venice Office has contributed to the elaboration of the national STI strategies of many SEE countries. </w:t>
      </w:r>
    </w:p>
    <w:p w:rsidR="000E3947" w:rsidRPr="004824E2" w:rsidRDefault="000E3947" w:rsidP="004824E2">
      <w:pPr>
        <w:tabs>
          <w:tab w:val="left" w:pos="9214"/>
        </w:tabs>
        <w:autoSpaceDE w:val="0"/>
        <w:autoSpaceDN w:val="0"/>
        <w:adjustRightInd w:val="0"/>
        <w:spacing w:before="120" w:after="0" w:line="240" w:lineRule="auto"/>
        <w:ind w:left="567" w:right="424"/>
        <w:jc w:val="both"/>
        <w:rPr>
          <w:rFonts w:ascii="Cambria" w:hAnsi="Cambria" w:cs="Arial"/>
          <w:b/>
          <w:bCs/>
          <w:sz w:val="24"/>
          <w:szCs w:val="24"/>
          <w:lang w:val="en-US"/>
        </w:rPr>
      </w:pPr>
    </w:p>
    <w:p w:rsidR="000E3947" w:rsidRPr="004824E2" w:rsidRDefault="000E3947" w:rsidP="004824E2">
      <w:pPr>
        <w:tabs>
          <w:tab w:val="left" w:pos="9214"/>
        </w:tabs>
        <w:spacing w:before="120" w:after="0" w:line="240" w:lineRule="auto"/>
        <w:ind w:left="567" w:right="424"/>
        <w:jc w:val="both"/>
        <w:rPr>
          <w:rFonts w:ascii="Cambria" w:hAnsi="Cambria" w:cs="Arial"/>
          <w:b/>
          <w:bCs/>
          <w:sz w:val="24"/>
          <w:szCs w:val="24"/>
          <w:lang w:val="en-US" w:eastAsia="it-IT"/>
        </w:rPr>
      </w:pPr>
    </w:p>
    <w:p w:rsidR="000E3947" w:rsidRDefault="000E3947" w:rsidP="004824E2">
      <w:pPr>
        <w:tabs>
          <w:tab w:val="left" w:pos="9214"/>
        </w:tabs>
        <w:spacing w:before="120" w:after="0" w:line="240" w:lineRule="auto"/>
        <w:ind w:left="567" w:right="424"/>
        <w:jc w:val="both"/>
        <w:rPr>
          <w:rFonts w:ascii="Cambria" w:hAnsi="Cambria" w:cs="Arial"/>
          <w:b/>
          <w:bCs/>
          <w:sz w:val="24"/>
          <w:szCs w:val="24"/>
          <w:lang w:val="en-US" w:eastAsia="it-IT"/>
        </w:rPr>
      </w:pPr>
    </w:p>
    <w:p w:rsidR="000E3947" w:rsidRPr="004824E2" w:rsidRDefault="000E3947" w:rsidP="004824E2">
      <w:pPr>
        <w:tabs>
          <w:tab w:val="left" w:pos="9214"/>
        </w:tabs>
        <w:spacing w:before="120" w:after="0" w:line="240" w:lineRule="auto"/>
        <w:ind w:left="567" w:right="424"/>
        <w:jc w:val="both"/>
        <w:rPr>
          <w:rFonts w:ascii="Cambria" w:hAnsi="Cambria" w:cs="Arial"/>
          <w:sz w:val="24"/>
          <w:szCs w:val="24"/>
          <w:lang w:val="en-US" w:eastAsia="it-IT"/>
        </w:rPr>
      </w:pPr>
      <w:r w:rsidRPr="004824E2">
        <w:rPr>
          <w:rFonts w:ascii="Cambria" w:hAnsi="Cambria" w:cs="Arial"/>
          <w:b/>
          <w:bCs/>
          <w:sz w:val="24"/>
          <w:szCs w:val="24"/>
          <w:lang w:val="en-US" w:eastAsia="it-IT"/>
        </w:rPr>
        <w:t xml:space="preserve">Previous </w:t>
      </w:r>
      <w:r>
        <w:rPr>
          <w:rFonts w:ascii="Cambria" w:hAnsi="Cambria" w:cs="Arial"/>
          <w:b/>
          <w:bCs/>
          <w:sz w:val="24"/>
          <w:szCs w:val="24"/>
          <w:lang w:val="en-US" w:eastAsia="it-IT"/>
        </w:rPr>
        <w:t>Ministerial Round Tables</w:t>
      </w:r>
      <w:r w:rsidRPr="004824E2">
        <w:rPr>
          <w:rFonts w:ascii="Cambria" w:hAnsi="Cambria" w:cs="Arial"/>
          <w:sz w:val="24"/>
          <w:szCs w:val="24"/>
          <w:lang w:val="en-US" w:eastAsia="it-IT"/>
        </w:rPr>
        <w:t xml:space="preserve"> </w:t>
      </w:r>
    </w:p>
    <w:p w:rsidR="000E3947" w:rsidRPr="004824E2" w:rsidRDefault="000E3947" w:rsidP="004824E2">
      <w:pPr>
        <w:tabs>
          <w:tab w:val="left" w:pos="9214"/>
        </w:tabs>
        <w:spacing w:before="120" w:after="0" w:line="240" w:lineRule="auto"/>
        <w:ind w:left="567" w:right="424"/>
        <w:jc w:val="both"/>
        <w:rPr>
          <w:rFonts w:ascii="Cambria" w:hAnsi="Cambria" w:cs="Arial"/>
          <w:sz w:val="24"/>
          <w:szCs w:val="24"/>
          <w:lang w:val="en-US" w:eastAsia="it-IT"/>
        </w:rPr>
      </w:pPr>
      <w:r w:rsidRPr="004824E2">
        <w:rPr>
          <w:rFonts w:ascii="Cambria" w:hAnsi="Cambria" w:cs="Arial"/>
          <w:sz w:val="24"/>
          <w:szCs w:val="24"/>
          <w:lang w:val="en-US" w:eastAsia="it-IT"/>
        </w:rPr>
        <w:t xml:space="preserve">Since 2001, the following ministerial round tables on science and research in Southeastern Europe have been held: </w:t>
      </w:r>
    </w:p>
    <w:p w:rsidR="000E3947" w:rsidRPr="004824E2" w:rsidRDefault="000E3947" w:rsidP="0083242B">
      <w:pPr>
        <w:tabs>
          <w:tab w:val="left" w:pos="9214"/>
        </w:tabs>
        <w:spacing w:before="120" w:after="0" w:line="240" w:lineRule="auto"/>
        <w:ind w:left="567" w:right="424"/>
        <w:jc w:val="both"/>
        <w:rPr>
          <w:rFonts w:ascii="Cambria" w:hAnsi="Cambria" w:cs="Arial"/>
          <w:sz w:val="24"/>
          <w:szCs w:val="24"/>
          <w:lang w:val="en-US" w:eastAsia="it-IT"/>
        </w:rPr>
      </w:pPr>
      <w:r w:rsidRPr="004824E2">
        <w:rPr>
          <w:rFonts w:ascii="Cambria" w:hAnsi="Cambria" w:cs="Arial"/>
          <w:b/>
          <w:bCs/>
          <w:sz w:val="24"/>
          <w:szCs w:val="24"/>
          <w:lang w:val="en-US" w:eastAsia="it-IT"/>
        </w:rPr>
        <w:t>2010</w:t>
      </w:r>
      <w:r w:rsidRPr="004824E2">
        <w:rPr>
          <w:rFonts w:ascii="Cambria" w:hAnsi="Cambria" w:cs="Arial"/>
          <w:sz w:val="24"/>
          <w:szCs w:val="24"/>
          <w:lang w:val="en-US" w:eastAsia="it-IT"/>
        </w:rPr>
        <w:t xml:space="preserve"> </w:t>
      </w:r>
      <w:hyperlink r:id="rId5" w:tgtFrame="_blank" w:history="1">
        <w:r w:rsidRPr="004824E2">
          <w:rPr>
            <w:rFonts w:ascii="Cambria" w:hAnsi="Cambria" w:cs="Arial"/>
            <w:color w:val="0000FF"/>
            <w:sz w:val="24"/>
            <w:szCs w:val="24"/>
            <w:u w:val="single"/>
            <w:lang w:val="en-US" w:eastAsia="it-IT"/>
          </w:rPr>
          <w:t>High-level Round Table and Expert Meeting on Strengthening Research and Higher Education in South Eastern Europe: From Bilateral to Pan-European Cooperation (Tirana, Albania)</w:t>
        </w:r>
      </w:hyperlink>
    </w:p>
    <w:p w:rsidR="000E3947" w:rsidRPr="004824E2" w:rsidRDefault="000E3947" w:rsidP="0083242B">
      <w:pPr>
        <w:tabs>
          <w:tab w:val="left" w:pos="9214"/>
        </w:tabs>
        <w:spacing w:before="120" w:after="0" w:line="240" w:lineRule="auto"/>
        <w:ind w:left="567" w:right="424"/>
        <w:jc w:val="both"/>
        <w:rPr>
          <w:rFonts w:ascii="Cambria" w:hAnsi="Cambria" w:cs="Arial"/>
          <w:sz w:val="24"/>
          <w:szCs w:val="24"/>
          <w:lang w:val="en-US" w:eastAsia="it-IT"/>
        </w:rPr>
      </w:pPr>
      <w:r w:rsidRPr="004824E2">
        <w:rPr>
          <w:rFonts w:ascii="Cambria" w:hAnsi="Cambria" w:cs="Arial"/>
          <w:b/>
          <w:bCs/>
          <w:sz w:val="24"/>
          <w:szCs w:val="24"/>
          <w:lang w:val="en-US" w:eastAsia="it-IT"/>
        </w:rPr>
        <w:t>2008</w:t>
      </w:r>
      <w:r w:rsidRPr="004824E2">
        <w:rPr>
          <w:rFonts w:ascii="Cambria" w:hAnsi="Cambria" w:cs="Arial"/>
          <w:sz w:val="24"/>
          <w:szCs w:val="24"/>
          <w:lang w:val="en-US" w:eastAsia="it-IT"/>
        </w:rPr>
        <w:t xml:space="preserve"> </w:t>
      </w:r>
      <w:hyperlink r:id="rId6" w:tgtFrame="_blank" w:history="1">
        <w:r w:rsidRPr="004824E2">
          <w:rPr>
            <w:rFonts w:ascii="Cambria" w:hAnsi="Cambria" w:cs="Arial"/>
            <w:color w:val="0000FF"/>
            <w:sz w:val="24"/>
            <w:szCs w:val="24"/>
            <w:u w:val="single"/>
            <w:lang w:val="en-US" w:eastAsia="it-IT"/>
          </w:rPr>
          <w:t>High-level Round Table at the Science, Higher Education and Innovation Policy Forum (Budva, Montenegro)</w:t>
        </w:r>
      </w:hyperlink>
    </w:p>
    <w:p w:rsidR="000E3947" w:rsidRPr="004824E2" w:rsidRDefault="000E3947" w:rsidP="0083242B">
      <w:pPr>
        <w:tabs>
          <w:tab w:val="left" w:pos="9214"/>
        </w:tabs>
        <w:spacing w:before="120" w:after="0" w:line="240" w:lineRule="auto"/>
        <w:ind w:left="567" w:right="424"/>
        <w:jc w:val="both"/>
        <w:rPr>
          <w:rFonts w:ascii="Cambria" w:hAnsi="Cambria" w:cs="Arial"/>
          <w:sz w:val="24"/>
          <w:szCs w:val="24"/>
          <w:lang w:eastAsia="it-IT"/>
        </w:rPr>
      </w:pPr>
      <w:r w:rsidRPr="004824E2">
        <w:rPr>
          <w:rFonts w:ascii="Cambria" w:hAnsi="Cambria" w:cs="Arial"/>
          <w:b/>
          <w:bCs/>
          <w:sz w:val="24"/>
          <w:szCs w:val="24"/>
          <w:lang w:val="en-US" w:eastAsia="it-IT"/>
        </w:rPr>
        <w:t>2006</w:t>
      </w:r>
      <w:r w:rsidRPr="004824E2">
        <w:rPr>
          <w:rFonts w:ascii="Cambria" w:hAnsi="Cambria" w:cs="Arial"/>
          <w:sz w:val="24"/>
          <w:szCs w:val="24"/>
          <w:lang w:val="en-US" w:eastAsia="it-IT"/>
        </w:rPr>
        <w:t xml:space="preserve"> </w:t>
      </w:r>
      <w:hyperlink r:id="rId7" w:tgtFrame="_blank" w:history="1">
        <w:r w:rsidRPr="004824E2">
          <w:rPr>
            <w:rFonts w:ascii="Cambria" w:hAnsi="Cambria" w:cs="Arial"/>
            <w:color w:val="0000FF"/>
            <w:sz w:val="24"/>
            <w:szCs w:val="24"/>
            <w:u w:val="single"/>
            <w:lang w:val="en-US" w:eastAsia="it-IT"/>
          </w:rPr>
          <w:t xml:space="preserve">High-level Round Table and International Conference on Why Invest in Science in South Eastern Europe? </w:t>
        </w:r>
        <w:r w:rsidRPr="004824E2">
          <w:rPr>
            <w:rFonts w:ascii="Cambria" w:hAnsi="Cambria" w:cs="Arial"/>
            <w:color w:val="0000FF"/>
            <w:sz w:val="24"/>
            <w:szCs w:val="24"/>
            <w:u w:val="single"/>
            <w:lang w:eastAsia="it-IT"/>
          </w:rPr>
          <w:t>(Ljubljana, Slovenia)</w:t>
        </w:r>
      </w:hyperlink>
    </w:p>
    <w:p w:rsidR="000E3947" w:rsidRPr="004824E2" w:rsidRDefault="000E3947" w:rsidP="0083242B">
      <w:pPr>
        <w:tabs>
          <w:tab w:val="left" w:pos="9214"/>
        </w:tabs>
        <w:spacing w:before="120" w:after="0" w:line="240" w:lineRule="auto"/>
        <w:ind w:left="567" w:right="424"/>
        <w:jc w:val="both"/>
        <w:rPr>
          <w:rFonts w:ascii="Cambria" w:hAnsi="Cambria" w:cs="Arial"/>
          <w:sz w:val="24"/>
          <w:szCs w:val="24"/>
          <w:lang w:val="en-US" w:eastAsia="it-IT"/>
        </w:rPr>
      </w:pPr>
      <w:r w:rsidRPr="004824E2">
        <w:rPr>
          <w:rFonts w:ascii="Cambria" w:hAnsi="Cambria" w:cs="Arial"/>
          <w:b/>
          <w:bCs/>
          <w:sz w:val="24"/>
          <w:szCs w:val="24"/>
          <w:lang w:val="en-US" w:eastAsia="it-IT"/>
        </w:rPr>
        <w:t>2001</w:t>
      </w:r>
      <w:r w:rsidRPr="004824E2">
        <w:rPr>
          <w:rFonts w:ascii="Cambria" w:hAnsi="Cambria" w:cs="Arial"/>
          <w:sz w:val="24"/>
          <w:szCs w:val="24"/>
          <w:lang w:val="en-US" w:eastAsia="it-IT"/>
        </w:rPr>
        <w:t xml:space="preserve"> </w:t>
      </w:r>
      <w:hyperlink r:id="rId8" w:tgtFrame="_blank" w:tooltip="Opens external link in new window" w:history="1">
        <w:r w:rsidRPr="004824E2">
          <w:rPr>
            <w:rFonts w:ascii="Cambria" w:hAnsi="Cambria" w:cs="Arial"/>
            <w:color w:val="0000FF"/>
            <w:sz w:val="24"/>
            <w:szCs w:val="24"/>
            <w:u w:val="single"/>
            <w:lang w:val="en-US" w:eastAsia="it-IT"/>
          </w:rPr>
          <w:t>Round Table of Ministers of Science (UNESCO, Paris)</w:t>
        </w:r>
      </w:hyperlink>
      <w:r w:rsidRPr="004824E2">
        <w:rPr>
          <w:rFonts w:ascii="Cambria" w:hAnsi="Cambria" w:cs="Arial"/>
          <w:sz w:val="24"/>
          <w:szCs w:val="24"/>
          <w:lang w:val="en-US" w:eastAsia="it-IT"/>
        </w:rPr>
        <w:t xml:space="preserve"> </w:t>
      </w:r>
    </w:p>
    <w:p w:rsidR="000E3947" w:rsidRPr="004824E2" w:rsidRDefault="000E3947" w:rsidP="004824E2">
      <w:pPr>
        <w:tabs>
          <w:tab w:val="left" w:pos="9214"/>
        </w:tabs>
        <w:ind w:left="567" w:right="424"/>
        <w:jc w:val="both"/>
        <w:rPr>
          <w:rFonts w:ascii="Cambria" w:hAnsi="Cambria" w:cs="Arial"/>
          <w:sz w:val="24"/>
          <w:szCs w:val="24"/>
          <w:lang w:val="en-US"/>
        </w:rPr>
      </w:pPr>
    </w:p>
    <w:p w:rsidR="000E3947" w:rsidRPr="004824E2" w:rsidRDefault="000E3947" w:rsidP="004824E2">
      <w:pPr>
        <w:tabs>
          <w:tab w:val="left" w:pos="9214"/>
        </w:tabs>
        <w:autoSpaceDE w:val="0"/>
        <w:autoSpaceDN w:val="0"/>
        <w:adjustRightInd w:val="0"/>
        <w:spacing w:after="0" w:line="240" w:lineRule="auto"/>
        <w:ind w:left="567" w:right="424"/>
        <w:jc w:val="both"/>
        <w:rPr>
          <w:rFonts w:ascii="Cambria" w:hAnsi="Cambria" w:cs="Arial"/>
          <w:b/>
          <w:bCs/>
          <w:sz w:val="24"/>
          <w:szCs w:val="24"/>
          <w:lang w:val="en-US"/>
        </w:rPr>
      </w:pPr>
    </w:p>
    <w:p w:rsidR="000E3947" w:rsidRPr="004824E2" w:rsidRDefault="000E3947" w:rsidP="0083242B">
      <w:pPr>
        <w:tabs>
          <w:tab w:val="left" w:pos="9214"/>
        </w:tabs>
        <w:autoSpaceDE w:val="0"/>
        <w:autoSpaceDN w:val="0"/>
        <w:adjustRightInd w:val="0"/>
        <w:spacing w:after="0" w:line="240" w:lineRule="auto"/>
        <w:ind w:left="567" w:right="424"/>
        <w:jc w:val="both"/>
        <w:rPr>
          <w:rFonts w:ascii="Cambria" w:hAnsi="Cambria" w:cs="Arial"/>
          <w:b/>
          <w:bCs/>
          <w:sz w:val="24"/>
          <w:szCs w:val="24"/>
          <w:lang w:val="en-US"/>
        </w:rPr>
      </w:pPr>
      <w:r>
        <w:rPr>
          <w:rFonts w:ascii="Cambria" w:hAnsi="Cambria" w:cs="Arial"/>
          <w:b/>
          <w:bCs/>
          <w:sz w:val="24"/>
          <w:szCs w:val="24"/>
          <w:lang w:val="en-US"/>
        </w:rPr>
        <w:t>Participants</w:t>
      </w:r>
    </w:p>
    <w:p w:rsidR="000E3947" w:rsidRDefault="000E3947" w:rsidP="0083242B">
      <w:pPr>
        <w:tabs>
          <w:tab w:val="left" w:pos="9214"/>
        </w:tabs>
        <w:autoSpaceDE w:val="0"/>
        <w:autoSpaceDN w:val="0"/>
        <w:adjustRightInd w:val="0"/>
        <w:spacing w:before="120" w:after="120" w:line="240" w:lineRule="auto"/>
        <w:ind w:left="567" w:right="425"/>
        <w:jc w:val="both"/>
        <w:rPr>
          <w:rFonts w:ascii="Cambria" w:hAnsi="Cambria" w:cs="Arial"/>
          <w:sz w:val="24"/>
          <w:szCs w:val="24"/>
          <w:lang w:val="en-US"/>
        </w:rPr>
      </w:pPr>
      <w:r w:rsidRPr="004824E2">
        <w:rPr>
          <w:rFonts w:ascii="Cambria" w:hAnsi="Cambria" w:cs="Arial"/>
          <w:sz w:val="24"/>
          <w:szCs w:val="24"/>
          <w:lang w:val="en-US"/>
        </w:rPr>
        <w:t xml:space="preserve">Ministers and </w:t>
      </w:r>
      <w:r>
        <w:rPr>
          <w:rFonts w:ascii="Cambria" w:hAnsi="Cambria" w:cs="Arial"/>
          <w:sz w:val="24"/>
          <w:szCs w:val="24"/>
          <w:lang w:val="en-US"/>
        </w:rPr>
        <w:t xml:space="preserve">high level officials, </w:t>
      </w:r>
      <w:r w:rsidRPr="004824E2">
        <w:rPr>
          <w:rFonts w:ascii="Cambria" w:hAnsi="Cambria" w:cs="Arial"/>
          <w:sz w:val="24"/>
          <w:szCs w:val="24"/>
          <w:lang w:val="en-US"/>
        </w:rPr>
        <w:t>experts of science, higher education and research from So</w:t>
      </w:r>
      <w:r>
        <w:rPr>
          <w:rFonts w:ascii="Cambria" w:hAnsi="Cambria" w:cs="Arial"/>
          <w:sz w:val="24"/>
          <w:szCs w:val="24"/>
          <w:lang w:val="en-US"/>
        </w:rPr>
        <w:t>uth Eastern European countries (</w:t>
      </w:r>
      <w:r w:rsidRPr="004824E2">
        <w:rPr>
          <w:rFonts w:ascii="Cambria" w:hAnsi="Cambria" w:cs="Arial"/>
          <w:sz w:val="24"/>
          <w:szCs w:val="24"/>
          <w:lang w:val="en-US"/>
        </w:rPr>
        <w:t>Albania, Bosnia and Herzegovina, Bulgaria, Croatia, Former Yugoslav Republic of Macedonia, Greece, Republic of Moldova, Montenegro, Romania, Serbia, Turkey</w:t>
      </w:r>
      <w:r>
        <w:rPr>
          <w:rFonts w:ascii="Cambria" w:hAnsi="Cambria" w:cs="Arial"/>
          <w:sz w:val="24"/>
          <w:szCs w:val="24"/>
          <w:lang w:val="en-US"/>
        </w:rPr>
        <w:t>)</w:t>
      </w:r>
      <w:r w:rsidRPr="004824E2">
        <w:rPr>
          <w:rFonts w:ascii="Cambria" w:hAnsi="Cambria" w:cs="Arial"/>
          <w:sz w:val="24"/>
          <w:szCs w:val="24"/>
          <w:lang w:val="en-US"/>
        </w:rPr>
        <w:t xml:space="preserve">. </w:t>
      </w:r>
    </w:p>
    <w:p w:rsidR="000E3947" w:rsidRPr="004824E2" w:rsidRDefault="000E3947" w:rsidP="0083242B">
      <w:pPr>
        <w:tabs>
          <w:tab w:val="left" w:pos="9214"/>
        </w:tabs>
        <w:autoSpaceDE w:val="0"/>
        <w:autoSpaceDN w:val="0"/>
        <w:adjustRightInd w:val="0"/>
        <w:spacing w:before="120" w:after="120" w:line="240" w:lineRule="auto"/>
        <w:ind w:left="567" w:right="425"/>
        <w:jc w:val="both"/>
        <w:rPr>
          <w:rFonts w:ascii="Cambria" w:hAnsi="Cambria" w:cs="Arial"/>
          <w:sz w:val="24"/>
          <w:szCs w:val="24"/>
          <w:lang w:val="en-US"/>
        </w:rPr>
      </w:pPr>
      <w:r w:rsidRPr="004824E2">
        <w:rPr>
          <w:rFonts w:ascii="Cambria" w:hAnsi="Cambria" w:cs="Arial"/>
          <w:sz w:val="24"/>
          <w:szCs w:val="24"/>
          <w:lang w:val="en-US"/>
        </w:rPr>
        <w:t>Representatives from other European countries, European and international organizations, in particular the European Commission, the Regional Cooperation Council for South Eastern Europe will be invited to participate in the event.</w:t>
      </w:r>
    </w:p>
    <w:p w:rsidR="000E3947" w:rsidRPr="004824E2" w:rsidRDefault="000E3947" w:rsidP="0083242B">
      <w:pPr>
        <w:tabs>
          <w:tab w:val="left" w:pos="9214"/>
        </w:tabs>
        <w:autoSpaceDE w:val="0"/>
        <w:autoSpaceDN w:val="0"/>
        <w:adjustRightInd w:val="0"/>
        <w:spacing w:before="120" w:after="120" w:line="240" w:lineRule="auto"/>
        <w:ind w:left="567" w:right="425"/>
        <w:jc w:val="both"/>
        <w:rPr>
          <w:rFonts w:ascii="Cambria" w:hAnsi="Cambria" w:cs="Arial"/>
          <w:b/>
          <w:bCs/>
          <w:sz w:val="24"/>
          <w:szCs w:val="24"/>
          <w:lang w:val="en-US"/>
        </w:rPr>
      </w:pPr>
    </w:p>
    <w:p w:rsidR="000E3947" w:rsidRDefault="000E3947" w:rsidP="0083242B">
      <w:pPr>
        <w:tabs>
          <w:tab w:val="left" w:pos="9214"/>
        </w:tabs>
        <w:autoSpaceDE w:val="0"/>
        <w:autoSpaceDN w:val="0"/>
        <w:adjustRightInd w:val="0"/>
        <w:spacing w:before="120" w:after="120" w:line="240" w:lineRule="auto"/>
        <w:ind w:left="567" w:right="425"/>
        <w:jc w:val="both"/>
        <w:rPr>
          <w:rFonts w:ascii="Cambria" w:hAnsi="Cambria" w:cs="Arial"/>
          <w:b/>
          <w:bCs/>
          <w:sz w:val="24"/>
          <w:szCs w:val="24"/>
          <w:lang w:val="en-US"/>
        </w:rPr>
      </w:pPr>
      <w:r>
        <w:rPr>
          <w:rFonts w:ascii="Cambria" w:hAnsi="Cambria" w:cs="Arial"/>
          <w:b/>
          <w:bCs/>
          <w:sz w:val="24"/>
          <w:szCs w:val="24"/>
          <w:lang w:val="en-US"/>
        </w:rPr>
        <w:t>Venue</w:t>
      </w:r>
      <w:r w:rsidRPr="004824E2">
        <w:rPr>
          <w:rFonts w:ascii="Cambria" w:hAnsi="Cambria" w:cs="Arial"/>
          <w:b/>
          <w:bCs/>
          <w:sz w:val="24"/>
          <w:szCs w:val="24"/>
          <w:lang w:val="en-US"/>
        </w:rPr>
        <w:t xml:space="preserve"> </w:t>
      </w:r>
    </w:p>
    <w:p w:rsidR="000E3947" w:rsidRPr="004824E2" w:rsidRDefault="000E3947" w:rsidP="0083242B">
      <w:pPr>
        <w:tabs>
          <w:tab w:val="left" w:pos="9214"/>
        </w:tabs>
        <w:autoSpaceDE w:val="0"/>
        <w:autoSpaceDN w:val="0"/>
        <w:adjustRightInd w:val="0"/>
        <w:spacing w:before="120" w:after="120" w:line="240" w:lineRule="auto"/>
        <w:ind w:left="567" w:right="425"/>
        <w:jc w:val="both"/>
        <w:rPr>
          <w:rFonts w:ascii="Cambria" w:hAnsi="Cambria" w:cs="Arial"/>
          <w:b/>
          <w:bCs/>
          <w:sz w:val="24"/>
          <w:szCs w:val="24"/>
          <w:lang w:val="en-US"/>
        </w:rPr>
      </w:pPr>
      <w:r w:rsidRPr="004824E2">
        <w:rPr>
          <w:rFonts w:ascii="Cambria" w:hAnsi="Cambria" w:cs="Arial"/>
          <w:bCs/>
          <w:sz w:val="24"/>
          <w:szCs w:val="24"/>
          <w:lang w:val="en-US"/>
        </w:rPr>
        <w:t>Parliament of Bosnia and Herzegovina, Sarajevo</w:t>
      </w:r>
    </w:p>
    <w:p w:rsidR="000E3947" w:rsidRPr="004824E2" w:rsidRDefault="000E3947" w:rsidP="0083242B">
      <w:pPr>
        <w:tabs>
          <w:tab w:val="left" w:pos="9214"/>
        </w:tabs>
        <w:autoSpaceDE w:val="0"/>
        <w:autoSpaceDN w:val="0"/>
        <w:adjustRightInd w:val="0"/>
        <w:spacing w:before="120" w:after="120" w:line="240" w:lineRule="auto"/>
        <w:ind w:left="567" w:right="425"/>
        <w:jc w:val="both"/>
        <w:rPr>
          <w:rFonts w:ascii="Cambria" w:hAnsi="Cambria" w:cs="Arial"/>
          <w:b/>
          <w:bCs/>
          <w:sz w:val="24"/>
          <w:szCs w:val="24"/>
          <w:lang w:val="en-US"/>
        </w:rPr>
      </w:pPr>
    </w:p>
    <w:p w:rsidR="000E3947" w:rsidRPr="004824E2" w:rsidRDefault="000E3947" w:rsidP="0083242B">
      <w:pPr>
        <w:tabs>
          <w:tab w:val="left" w:pos="9214"/>
        </w:tabs>
        <w:autoSpaceDE w:val="0"/>
        <w:autoSpaceDN w:val="0"/>
        <w:adjustRightInd w:val="0"/>
        <w:spacing w:before="120" w:after="120" w:line="240" w:lineRule="auto"/>
        <w:ind w:left="567" w:right="425"/>
        <w:jc w:val="both"/>
        <w:rPr>
          <w:rFonts w:ascii="Cambria" w:hAnsi="Cambria" w:cs="Arial"/>
          <w:sz w:val="24"/>
          <w:szCs w:val="24"/>
          <w:lang w:val="en-US"/>
        </w:rPr>
      </w:pPr>
      <w:r w:rsidRPr="004824E2">
        <w:rPr>
          <w:rFonts w:ascii="Cambria" w:hAnsi="Cambria" w:cs="Arial"/>
          <w:b/>
          <w:bCs/>
          <w:sz w:val="24"/>
          <w:szCs w:val="24"/>
          <w:lang w:val="en-US"/>
        </w:rPr>
        <w:t>Organizers</w:t>
      </w:r>
    </w:p>
    <w:p w:rsidR="000E3947" w:rsidRPr="004824E2" w:rsidRDefault="000E3947" w:rsidP="0083242B">
      <w:pPr>
        <w:tabs>
          <w:tab w:val="left" w:pos="9214"/>
        </w:tabs>
        <w:autoSpaceDE w:val="0"/>
        <w:autoSpaceDN w:val="0"/>
        <w:adjustRightInd w:val="0"/>
        <w:spacing w:before="120" w:after="120" w:line="240" w:lineRule="auto"/>
        <w:ind w:left="567" w:right="425"/>
        <w:jc w:val="both"/>
        <w:rPr>
          <w:rFonts w:ascii="Cambria" w:hAnsi="Cambria" w:cs="Arial"/>
          <w:sz w:val="24"/>
          <w:szCs w:val="24"/>
          <w:lang w:val="en-US"/>
        </w:rPr>
      </w:pPr>
      <w:r w:rsidRPr="004824E2">
        <w:rPr>
          <w:rFonts w:ascii="Cambria" w:hAnsi="Cambria" w:cs="Arial"/>
          <w:sz w:val="24"/>
          <w:szCs w:val="24"/>
          <w:lang w:val="en-US"/>
        </w:rPr>
        <w:t xml:space="preserve">Ministry of Civil Affairs of Bosnia and Herzegovina </w:t>
      </w:r>
    </w:p>
    <w:p w:rsidR="000E3947" w:rsidRPr="004824E2" w:rsidRDefault="000E3947" w:rsidP="0083242B">
      <w:pPr>
        <w:tabs>
          <w:tab w:val="left" w:pos="9214"/>
        </w:tabs>
        <w:autoSpaceDE w:val="0"/>
        <w:autoSpaceDN w:val="0"/>
        <w:adjustRightInd w:val="0"/>
        <w:spacing w:before="120" w:after="120" w:line="240" w:lineRule="auto"/>
        <w:ind w:left="567" w:right="425"/>
        <w:jc w:val="both"/>
        <w:rPr>
          <w:rFonts w:ascii="Cambria" w:hAnsi="Cambria" w:cs="Arial"/>
          <w:sz w:val="24"/>
          <w:szCs w:val="24"/>
          <w:lang w:val="en-US"/>
        </w:rPr>
      </w:pPr>
      <w:r w:rsidRPr="004824E2">
        <w:rPr>
          <w:rFonts w:ascii="Cambria" w:hAnsi="Cambria" w:cs="Arial"/>
          <w:sz w:val="24"/>
          <w:szCs w:val="24"/>
          <w:lang w:val="en-US"/>
        </w:rPr>
        <w:t>UNESCO Regional Bureau for Science and Culture in Europe, Venice (Italy)</w:t>
      </w:r>
      <w:r>
        <w:rPr>
          <w:rFonts w:ascii="Cambria" w:hAnsi="Cambria" w:cs="Arial"/>
          <w:sz w:val="24"/>
          <w:szCs w:val="24"/>
          <w:lang w:val="en-US"/>
        </w:rPr>
        <w:t xml:space="preserve"> and UNESCO Antenna Office in Sarajevo </w:t>
      </w:r>
    </w:p>
    <w:p w:rsidR="000E3947" w:rsidRPr="004824E2" w:rsidRDefault="000E3947" w:rsidP="0083242B">
      <w:pPr>
        <w:tabs>
          <w:tab w:val="left" w:pos="9214"/>
        </w:tabs>
        <w:autoSpaceDE w:val="0"/>
        <w:autoSpaceDN w:val="0"/>
        <w:adjustRightInd w:val="0"/>
        <w:spacing w:before="120" w:after="120" w:line="240" w:lineRule="auto"/>
        <w:ind w:right="425"/>
        <w:jc w:val="both"/>
        <w:rPr>
          <w:rFonts w:ascii="Cambria" w:hAnsi="Cambria" w:cs="Arial"/>
          <w:b/>
          <w:bCs/>
          <w:sz w:val="24"/>
          <w:szCs w:val="24"/>
          <w:lang w:val="en-US"/>
        </w:rPr>
      </w:pPr>
    </w:p>
    <w:p w:rsidR="000E3947" w:rsidRPr="004824E2" w:rsidRDefault="000E3947" w:rsidP="0083242B">
      <w:pPr>
        <w:tabs>
          <w:tab w:val="left" w:pos="9214"/>
        </w:tabs>
        <w:autoSpaceDE w:val="0"/>
        <w:autoSpaceDN w:val="0"/>
        <w:adjustRightInd w:val="0"/>
        <w:spacing w:before="120" w:after="120" w:line="240" w:lineRule="auto"/>
        <w:ind w:left="567" w:right="425"/>
        <w:jc w:val="both"/>
        <w:rPr>
          <w:rFonts w:ascii="Cambria" w:hAnsi="Cambria" w:cs="Arial"/>
          <w:b/>
          <w:bCs/>
          <w:sz w:val="24"/>
          <w:szCs w:val="24"/>
          <w:lang w:val="en-US"/>
        </w:rPr>
      </w:pPr>
      <w:r w:rsidRPr="004824E2">
        <w:rPr>
          <w:rFonts w:ascii="Cambria" w:hAnsi="Cambria" w:cs="Arial"/>
          <w:b/>
          <w:bCs/>
          <w:sz w:val="24"/>
          <w:szCs w:val="24"/>
          <w:lang w:val="en-US"/>
        </w:rPr>
        <w:t>With the Financial Support of:</w:t>
      </w:r>
    </w:p>
    <w:p w:rsidR="000E3947" w:rsidRPr="004824E2" w:rsidRDefault="000E3947" w:rsidP="002F2128">
      <w:pPr>
        <w:tabs>
          <w:tab w:val="left" w:pos="9214"/>
        </w:tabs>
        <w:autoSpaceDE w:val="0"/>
        <w:autoSpaceDN w:val="0"/>
        <w:adjustRightInd w:val="0"/>
        <w:spacing w:after="0" w:line="240" w:lineRule="auto"/>
        <w:ind w:left="567" w:right="425"/>
        <w:jc w:val="both"/>
        <w:rPr>
          <w:rFonts w:ascii="Cambria" w:hAnsi="Cambria" w:cs="Arial"/>
          <w:sz w:val="24"/>
          <w:szCs w:val="24"/>
          <w:lang w:val="en-US"/>
        </w:rPr>
      </w:pPr>
      <w:r w:rsidRPr="004824E2">
        <w:rPr>
          <w:rFonts w:ascii="Cambria" w:hAnsi="Cambria" w:cs="Arial"/>
          <w:sz w:val="24"/>
          <w:szCs w:val="24"/>
          <w:lang w:val="en-US"/>
        </w:rPr>
        <w:t>Swiss Government, State Secretariat for Education and Research (SER)</w:t>
      </w:r>
    </w:p>
    <w:p w:rsidR="000E3947" w:rsidRPr="004824E2" w:rsidRDefault="000E3947" w:rsidP="002F2128">
      <w:pPr>
        <w:tabs>
          <w:tab w:val="left" w:pos="9214"/>
        </w:tabs>
        <w:autoSpaceDE w:val="0"/>
        <w:autoSpaceDN w:val="0"/>
        <w:adjustRightInd w:val="0"/>
        <w:spacing w:after="0" w:line="240" w:lineRule="auto"/>
        <w:ind w:left="567" w:right="425"/>
        <w:jc w:val="both"/>
        <w:rPr>
          <w:rFonts w:ascii="Cambria" w:hAnsi="Cambria" w:cs="Arial"/>
          <w:sz w:val="24"/>
          <w:szCs w:val="24"/>
          <w:lang w:val="en-US"/>
        </w:rPr>
      </w:pPr>
      <w:r w:rsidRPr="004824E2">
        <w:rPr>
          <w:rFonts w:ascii="Cambria" w:hAnsi="Cambria" w:cs="Arial"/>
          <w:sz w:val="24"/>
          <w:szCs w:val="24"/>
          <w:lang w:val="en-US"/>
        </w:rPr>
        <w:t xml:space="preserve">Austrian </w:t>
      </w:r>
      <w:r>
        <w:rPr>
          <w:rFonts w:ascii="Cambria" w:hAnsi="Cambria" w:cs="Arial"/>
          <w:sz w:val="24"/>
          <w:szCs w:val="24"/>
          <w:lang w:val="en-US"/>
        </w:rPr>
        <w:t>Development Agency</w:t>
      </w:r>
    </w:p>
    <w:p w:rsidR="000E3947" w:rsidRPr="004824E2" w:rsidRDefault="000E3947" w:rsidP="002F2128">
      <w:pPr>
        <w:tabs>
          <w:tab w:val="left" w:pos="9214"/>
        </w:tabs>
        <w:autoSpaceDE w:val="0"/>
        <w:autoSpaceDN w:val="0"/>
        <w:adjustRightInd w:val="0"/>
        <w:spacing w:after="0" w:line="240" w:lineRule="auto"/>
        <w:ind w:left="567" w:right="425"/>
        <w:jc w:val="both"/>
        <w:rPr>
          <w:rFonts w:ascii="Cambria" w:hAnsi="Cambria" w:cs="Arial"/>
          <w:sz w:val="24"/>
          <w:szCs w:val="24"/>
          <w:lang w:val="en-US"/>
        </w:rPr>
      </w:pPr>
      <w:r w:rsidRPr="004824E2">
        <w:rPr>
          <w:rFonts w:ascii="Cambria" w:hAnsi="Cambria" w:cs="Arial"/>
          <w:sz w:val="24"/>
          <w:szCs w:val="24"/>
          <w:lang w:val="en-US"/>
        </w:rPr>
        <w:t xml:space="preserve">Italian </w:t>
      </w:r>
      <w:r>
        <w:rPr>
          <w:rFonts w:ascii="Cambria" w:hAnsi="Cambria" w:cs="Arial"/>
          <w:sz w:val="24"/>
          <w:szCs w:val="24"/>
          <w:lang w:val="en-US"/>
        </w:rPr>
        <w:t xml:space="preserve">Ministry of Foreign Affairs </w:t>
      </w:r>
    </w:p>
    <w:p w:rsidR="000E3947" w:rsidRPr="0083242B" w:rsidRDefault="000E3947" w:rsidP="0083242B">
      <w:pPr>
        <w:tabs>
          <w:tab w:val="left" w:pos="9214"/>
        </w:tabs>
        <w:spacing w:before="120" w:after="120"/>
        <w:ind w:left="567" w:right="425"/>
        <w:jc w:val="both"/>
        <w:rPr>
          <w:rFonts w:ascii="Cambria" w:hAnsi="Cambria" w:cs="Arial"/>
          <w:sz w:val="24"/>
          <w:szCs w:val="24"/>
          <w:lang w:val="en-US"/>
        </w:rPr>
      </w:pPr>
    </w:p>
    <w:p w:rsidR="000E3947" w:rsidRPr="004824E2" w:rsidRDefault="000E3947" w:rsidP="0083242B">
      <w:pPr>
        <w:tabs>
          <w:tab w:val="left" w:pos="9214"/>
        </w:tabs>
        <w:spacing w:before="120" w:after="120"/>
        <w:ind w:left="567" w:right="425"/>
        <w:jc w:val="both"/>
        <w:rPr>
          <w:rFonts w:ascii="Cambria" w:hAnsi="Cambria" w:cs="Arial"/>
          <w:sz w:val="24"/>
          <w:szCs w:val="24"/>
          <w:lang w:val="en-US"/>
        </w:rPr>
      </w:pPr>
      <w:bookmarkStart w:id="0" w:name="_GoBack"/>
      <w:bookmarkEnd w:id="0"/>
    </w:p>
    <w:sectPr w:rsidR="000E3947" w:rsidRPr="004824E2" w:rsidSect="00775B5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1778C"/>
    <w:multiLevelType w:val="multilevel"/>
    <w:tmpl w:val="F554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46CB"/>
    <w:rsid w:val="00070047"/>
    <w:rsid w:val="00074505"/>
    <w:rsid w:val="0007782C"/>
    <w:rsid w:val="00097186"/>
    <w:rsid w:val="000A3BF5"/>
    <w:rsid w:val="000A72AC"/>
    <w:rsid w:val="000E3947"/>
    <w:rsid w:val="000F2DD4"/>
    <w:rsid w:val="00123E73"/>
    <w:rsid w:val="00136249"/>
    <w:rsid w:val="00151980"/>
    <w:rsid w:val="00153F25"/>
    <w:rsid w:val="001B3D7A"/>
    <w:rsid w:val="00244869"/>
    <w:rsid w:val="002B0719"/>
    <w:rsid w:val="002C6B0F"/>
    <w:rsid w:val="002D6AB9"/>
    <w:rsid w:val="002F2128"/>
    <w:rsid w:val="003073B9"/>
    <w:rsid w:val="00385207"/>
    <w:rsid w:val="003930BB"/>
    <w:rsid w:val="003E1976"/>
    <w:rsid w:val="00411D5F"/>
    <w:rsid w:val="00420FB5"/>
    <w:rsid w:val="004311F1"/>
    <w:rsid w:val="0043172E"/>
    <w:rsid w:val="00436C71"/>
    <w:rsid w:val="00442EA9"/>
    <w:rsid w:val="004459D3"/>
    <w:rsid w:val="00474111"/>
    <w:rsid w:val="004824E2"/>
    <w:rsid w:val="00520B36"/>
    <w:rsid w:val="005546CB"/>
    <w:rsid w:val="005A3B64"/>
    <w:rsid w:val="005A5165"/>
    <w:rsid w:val="005E226B"/>
    <w:rsid w:val="005E2316"/>
    <w:rsid w:val="006118CE"/>
    <w:rsid w:val="006259B0"/>
    <w:rsid w:val="00641CD4"/>
    <w:rsid w:val="00653E13"/>
    <w:rsid w:val="006803C7"/>
    <w:rsid w:val="006C3DFE"/>
    <w:rsid w:val="006C7CFC"/>
    <w:rsid w:val="006E0D7B"/>
    <w:rsid w:val="00724CAB"/>
    <w:rsid w:val="007619A3"/>
    <w:rsid w:val="00775B54"/>
    <w:rsid w:val="007813EE"/>
    <w:rsid w:val="007A5D2E"/>
    <w:rsid w:val="007D0553"/>
    <w:rsid w:val="00807D84"/>
    <w:rsid w:val="00820FD8"/>
    <w:rsid w:val="0083242B"/>
    <w:rsid w:val="00857035"/>
    <w:rsid w:val="008574C3"/>
    <w:rsid w:val="008819A2"/>
    <w:rsid w:val="008A25FA"/>
    <w:rsid w:val="008C079C"/>
    <w:rsid w:val="008C31F7"/>
    <w:rsid w:val="008E104E"/>
    <w:rsid w:val="00986C47"/>
    <w:rsid w:val="009A25F7"/>
    <w:rsid w:val="009E1696"/>
    <w:rsid w:val="00A730D0"/>
    <w:rsid w:val="00A86D6A"/>
    <w:rsid w:val="00AD0DAD"/>
    <w:rsid w:val="00AD65FA"/>
    <w:rsid w:val="00B314D1"/>
    <w:rsid w:val="00B35E58"/>
    <w:rsid w:val="00B40E08"/>
    <w:rsid w:val="00B430F9"/>
    <w:rsid w:val="00BB12A5"/>
    <w:rsid w:val="00C04AB4"/>
    <w:rsid w:val="00C061C9"/>
    <w:rsid w:val="00C11B0A"/>
    <w:rsid w:val="00C30188"/>
    <w:rsid w:val="00C96F4C"/>
    <w:rsid w:val="00CC61A4"/>
    <w:rsid w:val="00CD6907"/>
    <w:rsid w:val="00CE5750"/>
    <w:rsid w:val="00D016BA"/>
    <w:rsid w:val="00D40747"/>
    <w:rsid w:val="00D4391D"/>
    <w:rsid w:val="00D65BBF"/>
    <w:rsid w:val="00D927F3"/>
    <w:rsid w:val="00D93909"/>
    <w:rsid w:val="00E126B7"/>
    <w:rsid w:val="00E17924"/>
    <w:rsid w:val="00E807C3"/>
    <w:rsid w:val="00E942DA"/>
    <w:rsid w:val="00EA0C53"/>
    <w:rsid w:val="00EC7D76"/>
    <w:rsid w:val="00EE5788"/>
    <w:rsid w:val="00EF2329"/>
    <w:rsid w:val="00F01622"/>
    <w:rsid w:val="00F03F0A"/>
    <w:rsid w:val="00F47753"/>
    <w:rsid w:val="00F52898"/>
    <w:rsid w:val="00FA73A4"/>
    <w:rsid w:val="00FB1967"/>
    <w:rsid w:val="00FC0786"/>
    <w:rsid w:val="00FC3A4B"/>
    <w:rsid w:val="00FC7392"/>
    <w:rsid w:val="00FD41EF"/>
    <w:rsid w:val="00FE4B30"/>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54"/>
    <w:pPr>
      <w:spacing w:after="200" w:line="276" w:lineRule="auto"/>
    </w:pPr>
    <w:rPr>
      <w:lang w:val="it-IT"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07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73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unesco.org/en/ev.php-URL_ID=3924&amp;URL_DO=DO_TOPIC&amp;URL_SECTION=201.html" TargetMode="External"/><Relationship Id="rId3" Type="http://schemas.openxmlformats.org/officeDocument/2006/relationships/settings" Target="settings.xml"/><Relationship Id="rId7" Type="http://schemas.openxmlformats.org/officeDocument/2006/relationships/hyperlink" Target="http://www.unesco.org/new/en/venice/natural-sciences/science-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esco.org/new/en/venice/natural-sciences/science-policy/" TargetMode="External"/><Relationship Id="rId5" Type="http://schemas.openxmlformats.org/officeDocument/2006/relationships/hyperlink" Target="http://www.unesco.org/new/en/venice/natural-sciences/science-polic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611</Words>
  <Characters>3855</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Expert Meeting and SEE Ministerial Round Table</dc:title>
  <dc:subject/>
  <dc:creator>Rosanna Santesso</dc:creator>
  <cp:keywords/>
  <dc:description/>
  <cp:lastModifiedBy>lorencic</cp:lastModifiedBy>
  <cp:revision>2</cp:revision>
  <cp:lastPrinted>2012-10-22T14:28:00Z</cp:lastPrinted>
  <dcterms:created xsi:type="dcterms:W3CDTF">2012-11-13T15:23:00Z</dcterms:created>
  <dcterms:modified xsi:type="dcterms:W3CDTF">2012-11-13T15:23:00Z</dcterms:modified>
</cp:coreProperties>
</file>